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100.png" ContentType="image/png"/>
  <Override PartName="/word/media/rId99.png" ContentType="image/png"/>
  <Override PartName="/word/media/rId96.png" ContentType="image/png"/>
  <Override PartName="/word/media/rId95.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07</w:t>
      </w:r>
      <w:r>
        <w:t xml:space="preserve"> </w:t>
      </w:r>
      <w:r>
        <w:t xml:space="preserve">January,</w:t>
      </w:r>
      <w:r>
        <w:t xml:space="preserve"> </w:t>
      </w:r>
      <w:r>
        <w:t xml:space="preserve">2022</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including the Northern Pikeminnow</w:t>
      </w:r>
      <w:r>
        <w:t xml:space="preserve"> </w:t>
      </w:r>
      <w:r>
        <w:rPr>
          <w:iCs/>
          <w:i/>
        </w:rPr>
        <w:t xml:space="preserve">Ptychocheilus oregonsis</w:t>
      </w:r>
      <w:r>
        <w:t xml:space="preserve">. Indeed, Northern Pikeminnow have been estimated to consume 8% of the approximately 200 million juvenile salmonids emigration through those rivers, annually. Less is known about the interaction between upstream, river-dwelling Northern Pikeminnow and their impacts on salmonid recovery above these reservoir systems. In this study, we examine predation by Northern Pikeminnow on juvenile salmonids, focusing on Chinook Salmon</w:t>
      </w:r>
      <w:r>
        <w:t xml:space="preserve"> </w:t>
      </w:r>
      <w:r>
        <w:rPr>
          <w:iCs/>
          <w:i/>
        </w:rPr>
        <w:t xml:space="preserve">Oncorhynchus tshawytscha</w:t>
      </w:r>
      <w:r>
        <w:t xml:space="preserve">, in a slow-water reach of the Salmon River, Idaho known as Deadwater Slough. The reach contains historically important overwinter rearing and spring emigration habitat for Chinook Salmon and other ESA-listed species, and was formed by the failure of a small mining dam in a reservoir in the late 19th century. We estimate the abundance of Northern Pikeminnow in Deadwater Slough during peak emigrations of Chinook salmon, and further, use a bioenergetics approach to estimate the consumption potential of the Northern Pikeminnow population to assess potential impacts to Chinook Salmon emigrants. Finally, we evaulate potential impacts to adult returns of local populations.</w:t>
      </w:r>
      <w:r>
        <w:t xml:space="preserve"> </w:t>
      </w:r>
      <w:r>
        <w:rPr>
          <w:iCs/>
          <w:i/>
          <w:bCs/>
          <w:b/>
        </w:rPr>
        <w:t xml:space="preserve">We found that… (insert concluding findings here.</w:t>
      </w:r>
      <w:r>
        <w:t xml:space="preserve"> </w:t>
      </w:r>
      <w:r>
        <w:t xml:space="preserve">It is likely that predation of juvenile Chinook Salmon in Deadwater Slough has a consequential impact on ESA-listed Chinook Salmon populations in the Upper Salmon River MPG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km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spring/summer-run Chinook Salmon (hereafter Chinook Salmon) in the Upper Salmon major population group (MPG). The Salmon River was historically the most productive tributary for Chinook Salmon in the Columbia River basin</w:t>
      </w:r>
      <w:r>
        <w:t xml:space="preserve"> </w:t>
      </w:r>
      <w:r>
        <w:t xml:space="preserve">(Nemeth and Kiefer 1999)</w:t>
      </w:r>
      <w:r>
        <w:t xml:space="preserve">, but those populations have become depleted in recent decades. Currently, the Upper Salmon MPG supports eight independent, extant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The DSR migrants leave their natal area as subyearlings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examined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DSR and NRR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Salmon emigrants at Deadwater Slough by Northern Pikeminnow may impact adult returns to the Upper Salmon MPG.</w:t>
      </w:r>
    </w:p>
    <w:bookmarkEnd w:id="22"/>
    <w:bookmarkStart w:id="28"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1.9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w:t>
      </w:r>
      <w:r>
        <w:t xml:space="preserve">forming an alluvial fan. The fan created a slow, deep section in the river, spanning approximately 30 acres (12 hectares), averaging 68 m width, and resembling a small, narrow pond or reservoir.</w:t>
      </w:r>
    </w:p>
    <w:bookmarkEnd w:id="23"/>
    <w:bookmarkStart w:id="24" w:name="northern-pikeminnow-population-size"/>
    <w:p>
      <w:pPr>
        <w:pStyle w:val="Heading2"/>
      </w:pPr>
      <w:r>
        <w:t xml:space="preserve">Northern Pikeminnow Population Size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our focus.</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w:t>
      </w:r>
      <w:r>
        <w:t xml:space="preserve"> </w:t>
      </w:r>
      <m:oMath>
        <m:r>
          <m:t>i</m:t>
        </m:r>
      </m:oMath>
      <w:r>
        <w:t xml:space="preserve">. Here, sample</w:t>
      </w:r>
      <w:r>
        <w:t xml:space="preserve"> </w:t>
      </w:r>
      <m:oMath>
        <m:r>
          <m:t>i</m:t>
        </m:r>
      </m:oMath>
      <w:r>
        <w:t xml:space="preserve"> </w:t>
      </w:r>
      <w:r>
        <w:t xml:space="preserve">is defined as each day. The Schnabel estimator does not have an associated standard error; however, the 95% confidence intervals were calculated. The Schnabel estimator is essentially a weighted average of a series of Lincoln-Peterson estimators (with a Champman modification).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p>
      <w:pPr>
        <w:pStyle w:val="BodyText"/>
      </w:pPr>
      <w:r>
        <w:t xml:space="preserve">Northern Pikeminnow in Deadwater Slough were not only abundant, but anglers reported that many were large-bodied. For that reason, we calculated the proportional stock density (PSD) for Northern Pikeminnow in Deadwater Slough, which is a measure of species size structure. PSD is a ratio, typically expressed as a percentage, between the number of</w:t>
      </w:r>
      <w:r>
        <w:t xml:space="preserve"> </w:t>
      </w:r>
      <w:r>
        <w:t xml:space="preserve">“</w:t>
      </w:r>
      <w:r>
        <w:t xml:space="preserve">quality-sized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Quality and stock size definitions vary by species. We calculated the PSD for Northern Pikeminnow in Deadwater Slough using 380 mm TL for quality-size and 250 mm TL for stock-size</w:t>
      </w:r>
      <w:r>
        <w:t xml:space="preserve"> </w:t>
      </w:r>
      <w:r>
        <w:t xml:space="preserve">(Winther et al. 2020)</w:t>
      </w:r>
      <w:r>
        <w:t xml:space="preserve">.</w:t>
      </w:r>
    </w:p>
    <w:bookmarkEnd w:id="24"/>
    <w:bookmarkStart w:id="25" w:name="stomach-contents"/>
    <w:p>
      <w:pPr>
        <w:pStyle w:val="Heading2"/>
      </w:pPr>
      <w:r>
        <w:t xml:space="preserve">Stomach Contents</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5"/>
    <w:bookmarkStart w:id="26" w:name="fish-consumption-potential"/>
    <w:p>
      <w:pPr>
        <w:pStyle w:val="Heading2"/>
      </w:pPr>
      <w:r>
        <w:t xml:space="preserve">Fish Consumption Potential</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 versus non-fish prey items (e.g., invertebrates). Therefore, we conducted nine model runs with varying proportions of fish in the diet ranging from 10-90%, in 10% increments. Energy densities for invertebrates was fixed at 3,000 J/g. Because we were unable to differentiate juvenile Chinook Salmon from other fish prey consumed during model runs, we assume all fish prey have the same energy densities as juvenile Chinook Salmon i.e., juvenile Chinook Salmon were used as surrogates for all fish prey items.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total amount (grams) of fish consumed by an individual Northern Pikeminnow during the fall or spring time periods. To estimate the total biomass of fish potentially consumed by all Northern Pikeminnow in Deadwater Slough, we multiplied the grams of fish consumed by an individual Northern Pikeminnow by the estimated predator population size during each period (fall and spring).</w:t>
      </w:r>
    </w:p>
    <w:bookmarkEnd w:id="26"/>
    <w:bookmarkStart w:id="27" w:name="Xf48bb33d804bfd6581f05998a0ecb11776ed336"/>
    <w:p>
      <w:pPr>
        <w:pStyle w:val="Heading2"/>
      </w:pPr>
      <w:r>
        <w:t xml:space="preserve">Potential Impacts to Chinook Salmon Populations</w:t>
      </w:r>
    </w:p>
    <w:p>
      <w:pPr>
        <w:pStyle w:val="FirstParagraph"/>
      </w:pPr>
      <w:r>
        <w:t xml:space="preserve">Multiplying the grams of fish consumed by an individual Northern Pikeminnow by the Northern Pikeminnow population size provides an estimate of total fish consumption potential for the population. However, the bioenergetics model runs do not differentiate juvenile Chinook Salmon from other fish prey items. Therefore, to understand potential impacts to local Chinook Salmon populations, we need to parse out the portion of total fish consumed that is juvenile Chinook Salmon. Unfortunately, estimates of the proportion of the Northern Pikeminnow fish prey that are juvenile Chinook Salmon are sparse, as well as information on the prevalence of juvenile Chinook Salmon relative to other fish prey items. Therefore, we instead consider hypothetical scenarios where Chinook Salmon are 1%, 10%, 30%, and 50% of fish prey consumed, by weight, which provide estimates of the total biomass (grams) of juvenile Chinook Salmon consumed by Northern Pikeminnow during the DSR and NRR emigration periods.</w:t>
      </w:r>
    </w:p>
    <w:p>
      <w:pPr>
        <w:pStyle w:val="BodyText"/>
      </w:pPr>
      <w:r>
        <w:t xml:space="preserve">The estimate of total juvenile Chinook Salmon biomass consumed was converted to the total number of fish consumed each period by dividing by the average weight of DSR (10.3 g) and NRR (10.9 g) emigrants in the Upper Salmon MPG. The average weights of DSR and NRR emigrants were taken from fish caught at seven rotary screw traps located throughout the Upper Salmon MPG upstream of Deadwater Slough during the fall and spring time periods.</w:t>
      </w:r>
    </w:p>
    <w:bookmarkEnd w:id="27"/>
    <w:bookmarkEnd w:id="28"/>
    <w:bookmarkStart w:id="33" w:name="results"/>
    <w:p>
      <w:pPr>
        <w:pStyle w:val="Heading1"/>
      </w:pPr>
      <w:r>
        <w:t xml:space="preserve">Results</w:t>
      </w:r>
    </w:p>
    <w:bookmarkStart w:id="29" w:name="northern-pikeminnow-population-size-1"/>
    <w:p>
      <w:pPr>
        <w:pStyle w:val="Heading2"/>
      </w:pPr>
      <w:r>
        <w:t xml:space="preserve">Northern Pikeminnow Population Size</w:t>
      </w:r>
    </w:p>
    <w:p>
      <w:pPr>
        <w:pStyle w:val="FirstParagraph"/>
      </w:pPr>
      <w:r>
        <w:t xml:space="preserve">Using hook-and-line angling, we caught 664, 797, and 202 Northern Pikeminnow during the fall 2019, fall 2020, and spring 2021 efforts, respectively, for a total of 1,663 fish. The CPUE, measured as number of Northern Pikeminnow caught per angler hour, was 1.84 for fall 2019, 1.23 for fall 2020, and 0.81 for spring 2021 (Figure</w:t>
      </w:r>
      <w:r>
        <w:t xml:space="preserve"> </w:t>
      </w:r>
      <w:r>
        <w:t xml:space="preserve">2</w:t>
      </w:r>
      <w:r>
        <w:t xml:space="preserve">). During the mark-recapture efforts, there were eight recaptures in fall 2019 which included seven unique individuals. There were an additional six recaptures in fall 2020 consisting of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24,381 to 42,475 (Table</w:t>
      </w:r>
      <w:r>
        <w:t xml:space="preserve"> </w:t>
      </w:r>
      <w:r>
        <w:t xml:space="preserve">3</w:t>
      </w:r>
      <w:r>
        <w:t xml:space="preserve">). In both cases, the multiple census estimators were larger than the single census estimators. Confidence intervals for the fall 2020 effort were more varied, likely due to fewer recaptures during that year.</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and required a small sample size modification, we used the Schnabel estimates of abundance for further analyses and results. Accordingly, the mean of Northern Pikeminnow abundance for the two fall sampling events was 27,874 (95% CI: 14,244 - 59,388). By multiplying the ratio (0.53) between the spring CPUE (0.81) and mean of the fall CPUEs (1.53), we estimated there to be 14,799 (95% CI: 7,562 - 31,530) Northern Pikeminnow in Deadwater Slough during spring 2021.</w:t>
      </w:r>
    </w:p>
    <w:p>
      <w:pPr>
        <w:pStyle w:val="BodyText"/>
      </w:pPr>
      <w:r>
        <w:t xml:space="preserve">The PSD for Northern Pikeminnow in Deadwater Slough across all three efforts was 50% i.e., 50% of captured fish were over the quality size classification defined by</w:t>
      </w:r>
      <w:r>
        <w:t xml:space="preserve"> </w:t>
      </w:r>
      <w:r>
        <w:t xml:space="preserve">Winther et al. (2020)</w:t>
      </w:r>
      <w:r>
        <w:t xml:space="preserve">. For comparison,</w:t>
      </w:r>
      <w:r>
        <w:t xml:space="preserve"> </w:t>
      </w:r>
      <w:r>
        <w:t xml:space="preserve">Winther et al. (2020)</w:t>
      </w:r>
      <w:r>
        <w:t xml:space="preserve"> </w:t>
      </w:r>
      <w:r>
        <w:t xml:space="preserve">reported a PSD for Northern Pikeminnow captured below Bonneville Dam of 41% and 18% in Bonneville Reservoir, suggesting that a larger fraction of Northern Pikeminnow in Deadwater Slough are of a quality size relative to populations reported elsewhere in the Columbia River. In fact, the state record Northern Pikeminnow, which measured 639 mm (25.2 in) TL, was caught in Deadwater Slough during the fall 2020 effort.</w:t>
      </w:r>
    </w:p>
    <w:bookmarkEnd w:id="29"/>
    <w:bookmarkStart w:id="30" w:name="stomach-contents-1"/>
    <w:p>
      <w:pPr>
        <w:pStyle w:val="Heading2"/>
      </w:pPr>
      <w:r>
        <w:t xml:space="preserve">Stomach Contents</w:t>
      </w:r>
    </w:p>
    <w:p>
      <w:pPr>
        <w:pStyle w:val="FirstParagraph"/>
      </w:pPr>
      <w:r>
        <w:t xml:space="preserve">We examined the stomach contents of Northern Pikeminnow from Deadwater Slough using gastric lavage. To validate the efficacy of the method, we euthanized 75 Northern Pikeminnow after gastric lavage was completed and removed the remaining food items via dissection. We found that gastric lavage successfully removed food items in all dissected individuals, indicating the method was effective. Of the 1,558 Northern Pikeminnow sampled using gastric lavage, we found contents in some form in 350 (22.5%) stomachs and confirmed fish or fish parts in 44 (12.6%) of those. Northern Pikeminnow captured during the spring 2021 effort had a higher proportion of diets with fish contents (%) than fish captured in the fall 2019 (%) and fall 2020 (%) (Table</w:t>
      </w:r>
      <w:r>
        <w:t xml:space="preserve"> </w:t>
      </w:r>
      <w:r>
        <w:t xml:space="preserve">4</w:t>
      </w:r>
      <w:r>
        <w:t xml:space="preserve">). For those individuals with stomach contents, the average wet weight of total contents was 0.98 g (median = 0.25 g; range = 0.01-17.39 g). Overall, fish or fish remnants were 11.7% of the overall stomach contents examined.</w:t>
      </w:r>
    </w:p>
    <w:bookmarkEnd w:id="30"/>
    <w:bookmarkStart w:id="31" w:name="fish-consumption-potential-1"/>
    <w:p>
      <w:pPr>
        <w:pStyle w:val="Heading2"/>
      </w:pPr>
      <w:r>
        <w:t xml:space="preserve">Fish Consumption Potential</w:t>
      </w:r>
    </w:p>
    <w:p>
      <w:pPr>
        <w:pStyle w:val="FirstParagraph"/>
      </w:pPr>
      <w:r>
        <w:t xml:space="preserve">We estimated an individual, average-size (352.9 mm) Northern Pikeminnow to consume 45.23 g (range: 22.84 - 50.73 g) of fish during the DSR emigration to maintain their body size, depending on the proportion of diet consisting of fish versus invertebrates (Figure</w:t>
      </w:r>
      <w:r>
        <w:t xml:space="preserve"> </w:t>
      </w:r>
      <w:r>
        <w:t xml:space="preserve">5</w:t>
      </w:r>
      <w:r>
        <w:t xml:space="preserve">). Similarly, we estimated an average-size (393.7 mm) Northern Pikeminnow to consume 44.29 g (range: 22.39 - 49.74 g) of fish during the NRR emigration (Figure</w:t>
      </w:r>
      <w:r>
        <w:t xml:space="preserve"> </w:t>
      </w:r>
      <w:r>
        <w:t xml:space="preserve">5</w:t>
      </w:r>
      <w:r>
        <w:t xml:space="preserve">). Given a mean Northern Pikeminnow population size of 27,874 from fall estimates and 14,798.67 for spring 2021 and using the median value from diet scenarios (i.e., 50% of their diet consists of fish), we’d estimate that the Northern Pikeminnow population can consume 1,260,741 g (range: 636,642.2 - 1,414,048 g) fish during the DSR emigration and an additional 655,433.1 g (range: 331,342.2 - 736,085.8 g) during the NRR emigration in Deadwater Slough. In total, the Northern Pikeminnow population can consume 1,916,174 g of fish during the DSR and NRR emigrations to maintain their population size if we assume 50% of their diet consists of fish.</w:t>
      </w:r>
    </w:p>
    <w:bookmarkEnd w:id="31"/>
    <w:bookmarkStart w:id="32" w:name="X04b4ebf29d646c95e920fe225a058217179fb09"/>
    <w:p>
      <w:pPr>
        <w:pStyle w:val="Heading2"/>
      </w:pPr>
      <w:r>
        <w:t xml:space="preserve">Potential Impacts to Chinook Salmon Populations</w:t>
      </w:r>
    </w:p>
    <w:p>
      <w:pPr>
        <w:numPr>
          <w:ilvl w:val="0"/>
          <w:numId w:val="1002"/>
        </w:numPr>
        <w:pStyle w:val="Compact"/>
      </w:pPr>
      <w:r>
        <w:t xml:space="preserve">Start with total g of fish consumed by Northern Pikemnnow population, summing DSR and NRR time periods.</w:t>
      </w:r>
    </w:p>
    <w:p>
      <w:pPr>
        <w:numPr>
          <w:ilvl w:val="0"/>
          <w:numId w:val="1002"/>
        </w:numPr>
        <w:pStyle w:val="Compact"/>
      </w:pPr>
      <w:r>
        <w:t xml:space="preserve">Parse out portion of fish total g consumed that is juvenile Chinook Salmon (1%, 10%, 30%, 50%).</w:t>
      </w:r>
    </w:p>
    <w:p>
      <w:pPr>
        <w:numPr>
          <w:ilvl w:val="0"/>
          <w:numId w:val="1002"/>
        </w:numPr>
        <w:pStyle w:val="Compact"/>
      </w:pPr>
      <w:r>
        <w:t xml:space="preserve">Divide by average weight of juvenile Chinook Salmon (10.6 g), the average of DSR (10.3 g) and NRR (10.9 g) emigrants.</w:t>
      </w:r>
    </w:p>
    <w:p>
      <w:pPr>
        <w:numPr>
          <w:ilvl w:val="0"/>
          <w:numId w:val="1002"/>
        </w:numPr>
        <w:pStyle w:val="Compact"/>
      </w:pPr>
      <w:r>
        <w:t xml:space="preserve">Estimate of total juvenile Chinook Salmon consumed.</w:t>
      </w:r>
    </w:p>
    <w:p>
      <w:pPr>
        <w:numPr>
          <w:ilvl w:val="0"/>
          <w:numId w:val="1002"/>
        </w:numPr>
        <w:pStyle w:val="Compact"/>
      </w:pPr>
      <w:r>
        <w:t xml:space="preserve">Multiply by SAR to estimate</w:t>
      </w:r>
      <w:r>
        <w:t xml:space="preserve"> </w:t>
      </w:r>
      <w:r>
        <w:t xml:space="preserve">“</w:t>
      </w:r>
      <w:r>
        <w:t xml:space="preserve">adult equivalents.</w:t>
      </w:r>
      <w:r>
        <w:t xml:space="preserve">”</w:t>
      </w:r>
    </w:p>
    <w:bookmarkEnd w:id="32"/>
    <w:bookmarkEnd w:id="33"/>
    <w:bookmarkStart w:id="43" w:name="discussion"/>
    <w:p>
      <w:pPr>
        <w:pStyle w:val="Heading1"/>
      </w:pPr>
      <w:r>
        <w:t xml:space="preserve">Discussion</w:t>
      </w:r>
    </w:p>
    <w:p>
      <w:pPr>
        <w:pStyle w:val="FirstParagraph"/>
      </w:pPr>
      <w:r>
        <w:t xml:space="preserve">The mean population size of Northern Pikeminnow in the Deadwater Slough during the fall season was estimated to be 27,874 and during the spring 2021 to be 14,798.67. Those estimates translate to linear densities of 14,898 and 7,909 which is 21 and 11 times greater, respectively, than densities reported by</w:t>
      </w:r>
      <w:r>
        <w:t xml:space="preserve"> </w:t>
      </w:r>
      <w:r>
        <w:t xml:space="preserve">Beamesderfer and Rieman (1991)</w:t>
      </w:r>
      <w:r>
        <w:t xml:space="preserve"> </w:t>
      </w:r>
      <w:r>
        <w:t xml:space="preserve">for the John Day Reservoir and approximately five and three times greater than projections for the lower Columbia River</w:t>
      </w:r>
      <w:r>
        <w:t xml:space="preserve"> </w:t>
      </w:r>
      <w:r>
        <w:t xml:space="preserve">(Beamesderfer et al. 1996)</w:t>
      </w:r>
      <w:r>
        <w:t xml:space="preserve">. Although estimated densities for Deadwater Slough are high given the relative size (volume) of the Salmon River at the slough relative to the Columbia River, high CPUE combined with low recapture rates (one in every 119 fish were recaptures) suggest this area may support exceptionally high predator densities. Further,</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Conversely, at Deadwater Slough the maximum depth was approximately 10-15 m with a relatively homogenous bottom contour, making angling an effective method throughout the entire reach. Our estimates of Northern Pikeminnow areal density are also higher than those reported elsewhere in the Columbia River basin. We estimate the density of Northern Pikeminnow in Deadwater Slough, as fish per hectare, to be 2,334 for fall and 1,239 for spring. For comparison, the only other available estimates of areal density, that the authors are aware of, are 4.4 fish per hectare for John Day Reservoir</w:t>
      </w:r>
      <w:r>
        <w:t xml:space="preserve"> </w:t>
      </w:r>
      <w:r>
        <w:t xml:space="preserve">(Beamesderfer and Rieman 1991)</w:t>
      </w:r>
      <w:r>
        <w:t xml:space="preserve"> </w:t>
      </w:r>
      <w:r>
        <w:t xml:space="preserve">and 15 fish per hectare in Lake Washington</w:t>
      </w:r>
      <w:r>
        <w:t xml:space="preserve"> </w:t>
      </w:r>
      <w:r>
        <w:t xml:space="preserve">(Bartoo 1977)</w:t>
      </w:r>
      <w:r>
        <w:t xml:space="preserve">. Given the dearth of current data available in the Columbia River basin, it is unclear how Northern Pikeminnow abundance estimates in this study compare to elsewhere in the Columbia River Basin.</w:t>
      </w:r>
      <w:r>
        <w:t xml:space="preserve"> </w:t>
      </w:r>
      <w:r>
        <w:t xml:space="preserve">Widener et al. (2021)</w:t>
      </w:r>
      <w:r>
        <w:t xml:space="preserve"> </w:t>
      </w:r>
      <w:r>
        <w:t xml:space="preserve">has identified a need for more current information on piscine predator populations in the Columbia River.</w:t>
      </w:r>
    </w:p>
    <w:bookmarkStart w:id="34" w:name="mark-recapture-models"/>
    <w:p>
      <w:pPr>
        <w:pStyle w:val="Heading2"/>
      </w:pPr>
      <w:r>
        <w:t xml:space="preserve">Mark-Recapture Models</w:t>
      </w:r>
    </w:p>
    <w:p>
      <w:pPr>
        <w:pStyle w:val="FirstParagraph"/>
      </w:pPr>
      <w:r>
        <w:t xml:space="preserve">All mark-recapture abundance estimators suggest a large number of Northern Pikeminnow occupying Deadwater Slough. Several assumptions in our estimators may have influenced the magnitude of our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limited length of the sampling period (two weeks), that assumption is likely met. The assumption of a closed population can also affect results if mortality occurs for some marked fish released back to the population. During our field processing, we did not observe mortalities or injury post release; however, the potential for mortality amongst marked and released fish cannot be discounted. Next, our estimates assumed that the second (and subsequent) sample(s) are random samples of the population. Angling methods may have a size selection bias, thereby limiting our abundance estimates to a size threshold susceptible to angling. We also consider the validity of our assumption of equal catchability of individual fish between sampling events to have introduced potential bias in our results. Unequal catchability for individual fish is difficult to assess, especially if being caught once influences the likelihood of recapture. During our study, we recaptured two individual fish during multiple surveys indicating that marked fish were still susceptible to angling.</w:t>
      </w:r>
      <w:r>
        <w:t xml:space="preserve"> </w:t>
      </w:r>
      <w:r>
        <w:t xml:space="preserve">We further recognize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If marked fish were not recently released or mixed back into those areas that would result in marked fish being less susceptible to capture. Violations of the assumption of equal catchability between marked and unmarked fish may lead to an overestimate of abundance of Northern Pikeminnow in our study if marked fish have lower catchability.</w:t>
      </w:r>
    </w:p>
    <w:p>
      <w:pPr>
        <w:pStyle w:val="BodyText"/>
      </w:pPr>
      <w:r>
        <w:t xml:space="preserve">The spring abundance estimate was smaller than fall abundance estimates. Our approach assumed equal capture probabilities between the fall and spring sample efforts. Yet, we suspect that the capture probability in the spring could be lower as higher spring flows reduce Northern Pikeminnow densities biasing our spring abundance estimate low. Therefore, we believe our spring abundance estimate to be conservative.</w:t>
      </w:r>
    </w:p>
    <w:bookmarkEnd w:id="34"/>
    <w:bookmarkStart w:id="35" w:name="stomach-contents-2"/>
    <w:p>
      <w:pPr>
        <w:pStyle w:val="Heading2"/>
      </w:pPr>
      <w:r>
        <w:t xml:space="preserve">Stomach Contents</w:t>
      </w:r>
    </w:p>
    <w:p>
      <w:pPr>
        <w:pStyle w:val="FirstParagraph"/>
      </w:pPr>
      <w:r>
        <w:t xml:space="preserve">We performed gastric lavage on nearly all Northern Pikeminnow collected during this study. In addition to juvenile Chinook Salmon, species included Redside Shiner,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although decomposition from digestion rendered many fish contents unidentifiable. While this approach provided useful information on prey species, we have concerns about using angling and gastric lavage to quantify diet composition in Northern Pikeminnow. First, previous studies have indicated that diets of angled fish differ from those collected by other methods (e.g., electrofishing)</w:t>
      </w:r>
      <w:r>
        <w:t xml:space="preserve"> </w:t>
      </w:r>
      <w:r>
        <w:t xml:space="preserve">(Hodgson and Cochran 1988)</w:t>
      </w:r>
      <w:r>
        <w:t xml:space="preserve">, and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Previous research indicates that performing gastric lavage on cyprinid species can be ineffective at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Our intent, rather, was to simply document predation on juvenile Chinook Salmon in Deadwater Slough, and given the potential ineffectiveness of gastric lavage using angling and for Northern Pikeminnow, we consider our diet composition estimates to be conservative estimates i.e., we believe that a larger proportion of the Northern Pikeminnow diet is fish and juvenile Chinook Salmon than our gastric results suggest.</w:t>
      </w:r>
    </w:p>
    <w:bookmarkEnd w:id="35"/>
    <w:bookmarkStart w:id="36" w:name="bioenergetics"/>
    <w:p>
      <w:pPr>
        <w:pStyle w:val="Heading2"/>
      </w:pPr>
      <w:r>
        <w:t xml:space="preserve">Bioenergetics</w:t>
      </w:r>
    </w:p>
    <w:p>
      <w:pPr>
        <w:pStyle w:val="FirstParagraph"/>
      </w:pPr>
      <w:r>
        <w:t xml:space="preserve">An average-size Northern Pikeminnow from Deadwater Slough is estimated to consume 45.23 g (range: 22.84 - 50.73 g) and 44.29 g (range: 22.39 - 49.74 g) of fish during fall and spring, respectively, to maintain its body weight. This equates to 89.52 g of fish consumed during the DSR and NRR peak emigrations, assuming the median value among diet scenarios (i.e., if 50% of their diet consists of fish). Consumption ranged from 45.23 for a diet comprised of 10% fish to 100.47 for a diet comprised of 90% fish.</w:t>
      </w:r>
    </w:p>
    <w:p>
      <w:pPr>
        <w:pStyle w:val="BodyText"/>
      </w:pPr>
      <w:r>
        <w:t xml:space="preserve">Our approach assumed that all available prey consumed by Northern Pikeminnow have energy densities equal to juvenile Chinook Salmon. Other salmonid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Other studies have used a similar approach where the energy densities of different salmonids were generalized using an estimate from a single species</w:t>
      </w:r>
      <w:r>
        <w:t xml:space="preserve"> </w:t>
      </w:r>
      <w:r>
        <w:t xml:space="preserve">(Petersen and Ward 1999)</w:t>
      </w:r>
      <w:r>
        <w:t xml:space="preserve">.</w:t>
      </w:r>
      <w:r>
        <w:t xml:space="preserve"> </w:t>
      </w:r>
      <w:r>
        <w:t xml:space="preserve">However, our study is focused on potential impacts to natural-origin DSR and NRR Chinook Salmon, in which case, let’s consider a thought exercise where DSR and NRR Chinook Salmon represent only 10% and 25% of total fish prey consumed by Northern Pikemnnow during these periods. Under these scenarios, the average Northern Pikeminnow would consume 8.95 g (range 4.52 – 10.05 g) if 10% of prey were natural-origin Chinook Salmon and 22.38 g (range 11.31 – 25.12) if 25%.</w:t>
      </w:r>
    </w:p>
    <w:p>
      <w:pPr>
        <w:pStyle w:val="BodyText"/>
      </w:pPr>
      <w:r>
        <w:t xml:space="preserve">Our estimated consumption of Chinook Salmon juveniles by Northern Pikeminnow was calculated using a static predator population. If we assume an average juvenile Upper Salmon MPG Chinook Salmon of 10.6 g, this equates to 0.84 juvenile Chinook Salmon (range 0.43 – 0.94) under the 10% scenario and 2.11 juvenile Chinook Salmon (range 1.07 – 2.37) under the 25% scenario. Let’s now consider a stable Northern Pikeminnow population size of 10,000 (roughly the mean of fall and spring abundance estimates, divided by two to account for half of marked individuals not being available for recapture). In this case, the Northern Pikeminnow population in Deadwater Slough would be estimated to consume 8,400 (range 4,300 – 9,400) or 21,100 (range 10,700 – 23,700) under the 10% and 25% scenarios, respectively.</w:t>
      </w:r>
    </w:p>
    <w:bookmarkEnd w:id="36"/>
    <w:bookmarkStart w:id="37" w:name="impacts-to-adult-returns"/>
    <w:p>
      <w:pPr>
        <w:pStyle w:val="Heading2"/>
      </w:pPr>
      <w:r>
        <w:t xml:space="preserve">Impacts to Adult Returns</w:t>
      </w:r>
    </w:p>
    <w:p>
      <w:pPr>
        <w:pStyle w:val="FirstParagraph"/>
      </w:pPr>
      <w:r>
        <w:t xml:space="preserve">Our primary objective was to assess the impact of predation on juvenile Chinook Salmon in the Upper Salmon MPG. However, there is also interest in estimating the number of additional adult Chinook Salmon that might be expected to return to Lower Granite Dam if predation in the Deadwater Slough was reduced or eliminated. Our approach here was to multiply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 Assuming an SAR of 0.00614 (SE: 0.00051) we’ll consider the</w:t>
      </w:r>
      <w:r>
        <w:t xml:space="preserve"> </w:t>
      </w:r>
      <w:r>
        <w:t xml:space="preserve">“</w:t>
      </w:r>
      <w:r>
        <w:t xml:space="preserve">adult equivalents</w:t>
      </w:r>
      <w:r>
        <w:t xml:space="preserve">”</w:t>
      </w:r>
      <w:r>
        <w:t xml:space="preserve"> </w:t>
      </w:r>
      <w:r>
        <w:t xml:space="preserve">to our estimates of juveniles consumed. Under this scenario, the consumed juveniles would be equivalent to 51.6 adults (range 26.4 – 57.7) and 129.6 adults (range 65.7 – 145.6). However, we believe these 10% and 25% scenarios to be conservative, especially during the fall DSR emigration period. During spring, natural-origin steelhead and Sockeye Salmon are also actively emigrating from the Upper Salmon River and hatchery-origin releases of all three species (Chinook Salmon, steelhead, and Sockeye Salmon) are present in the river, and so 10% or 25% may be reasonable. However, during fall, DSR Chinook Salmon are likely the dominant prey species available to Chinook Salmon in Deadwater Slough as 1) no (or at least minimal) hatchery releases are present in the river and 2) fall emigrations of steelhead and Sockeye Salmon are less prominent than in Chinook Salmon. Note that this thought exercise only includes the Northern Pikeminnow population in Deadwater Slough even though they are present throughout the upper Salmon River, although likely at lower densities than in Deadwater Slough, and also ignores potential impacts to ESA-listed steelhead and Sockeye Salmon that are also a portion of the Northern Pikeminnow diet.</w:t>
      </w:r>
      <w:r>
        <w:t xml:space="preserve"> </w:t>
      </w:r>
    </w:p>
    <w:bookmarkEnd w:id="37"/>
    <w:bookmarkStart w:id="40"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8">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9">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during field efforts; Great Blue Herons were especially prevalent in the anastomizing reach immediately upriver of the slackwater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40"/>
    <w:bookmarkStart w:id="41" w:name="management-implications"/>
    <w:p>
      <w:pPr>
        <w:pStyle w:val="Heading2"/>
      </w:pPr>
      <w:r>
        <w:t xml:space="preserve">Management Implications</w:t>
      </w:r>
    </w:p>
    <w:p>
      <w:pPr>
        <w:pStyle w:val="FirstParagraph"/>
      </w:pPr>
      <w:r>
        <w:t xml:space="preserve">Recovery of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recovery of the Snake River Evolutionary Significant Unit. Spawner abundance is perhaps the most important metric considered in determining a population’s viability. We estimated that consumption of juvenile Chinook Salmon by Northern Pikeminnow in the Deadwater Slough potentially reduces natural-origin returns to upriver populations by 26.4 to 145.6 adults, annually. This is between 4.7% and 26.1% of the total mean adult escapement</w:t>
      </w:r>
      <w:r>
        <w:t xml:space="preserve"> </w:t>
      </w:r>
      <w:r>
        <w:t xml:space="preserve">reported for the Upper Salmon River MPG in 2017 - 2019</w:t>
      </w:r>
      <w:r>
        <w:t xml:space="preserve"> </w:t>
      </w:r>
      <w:r>
        <w:t xml:space="preserve">(Kinzer et al. 2020)</w:t>
      </w:r>
      <w:r>
        <w:t xml:space="preserve">. These estimates only take into account predation on juvenile Chinook Salmon by Northern Pikeminnow, but presumably, juvenile steelhead and Sockeye Salmon are also prey items in Deadwater Slough, including hatchery releases. Therefore, adult returns of steelhead and Sockeye Salmon are affected as well, including for hathchery populations which provide for recreational fishing opportunities. Consequently, reducing predation mortality at Deadwater Slough could potentially benefit multiple upriver natural and hatchery populations, including multiple ESA-listed species. Because the Deadwater Slough is part of the migratory pathway for emigrating salmonids, including for multiple species and populations, the impact of that benefit could be higher than tributary rehabilitation actions, which typically benefit a single population. Moreover, the deepened, slack water conditions that favor Northern Pikeminnow at Deadwater Slough are a result of the failure of a manmade mining reservoir dam. Taken together, the Deadwater Slough is a favorable candidate for management or restoration actions to benefit local Chinook Salmon populations.</w:t>
      </w:r>
    </w:p>
    <w:p>
      <w:pPr>
        <w:pStyle w:val="BodyText"/>
      </w:pPr>
      <w:r>
        <w:t xml:space="preserve">We envision two potential management actions at reducing predation at Deadwater Slough: 1) removing the Dump Creek alluvial fan and 2) a local Northern Pikeminnow bounty program to encourage harvest in Deadwater Slough aimed at reducing the predator population size. Both actions have evident pros and cons. Removing the Dump Creek alluvial fan has the benefit of restoring the Salmon River to a more natural flow (e.g., increased water velocity, decreased depth) and bathymetry (e.g., heterogeneous substrate) that likely existed in the reach prior to the failure of the mining reservoir dam in Dump Creek. Restoring flow would presumably reduce Northern Pikeminnow densities to levels similar to upstream and downstream reaches where recent studies identified higher survival and transition probabilities than those at Deadwater Slough (</w:t>
      </w:r>
      <w:r>
        <w:t xml:space="preserve">Axel et al. (2015)</w:t>
      </w:r>
      <w:r>
        <w:t xml:space="preserve">;</w:t>
      </w:r>
      <w:r>
        <w:t xml:space="preserve"> </w:t>
      </w:r>
      <w:r>
        <w:t xml:space="preserve">Ackerman et al. (2018)</w:t>
      </w:r>
      <w:r>
        <w:t xml:space="preserve">;</w:t>
      </w:r>
      <w:r>
        <w:t xml:space="preserve"> </w:t>
      </w:r>
      <w:r>
        <w:t xml:space="preserve">Porter et al. (2019)</w:t>
      </w:r>
      <w:r>
        <w:t xml:space="preserve">). However, we do not know the feasibility of removing or alleviating the Dump Creek alluvial fan, and if it could be removed or altered, future disturbance events could potentially move additional loose sediment in the Dump Creek drainage, thereby creating a new alluvial fan. Additionally, restoring the flow would likely diminish the value of the reach as an important bird watching and nesting area.</w:t>
      </w:r>
    </w:p>
    <w:p>
      <w:pPr>
        <w:pStyle w:val="BodyText"/>
      </w:pPr>
      <w:r>
        <w:t xml:space="preserve">Northern Pikeminnow bounty programs have proven successful at reducing population sizes and impacts on emigrating salmonids elsewhere (citation). A local bounty program in the Salmon River has the potential to boost the local economy (to an unknown degree) which has been negatively impacted by low returns of Chinook Salmon, steelhead, and Sockeye Salmon in recent decades. Many local businesses rely on license and gear sales for local sport fisheries, but low salmon and steelhead returns have eliminated or reduced the duration of fisheries in some years, and a local Northern Pikeminnow bounty program could allow the local economy to recoup some of those lost revenues. On the downside, bounty programs require continual effort and harvest to suppress the population size and so would require year of continued funding and local buy-in to remain effective. If funding or effort was alleviated, Northern Pikeminnow would likely recover to a higher population size without additional alterations to the habitat.</w:t>
      </w:r>
      <w:r>
        <w:t xml:space="preserve"> </w:t>
      </w:r>
    </w:p>
    <w:bookmarkEnd w:id="41"/>
    <w:bookmarkStart w:id="42"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an almost 2-kilometer section of unnaturally slow and deep river, resulting in favorable conditions for Northern Pikeminnow. We estimate that greater than 10,000 Northern Pikeminnow occupy Deadwater Slough with densities greater than reported elsewhere. Additionally, the slow water velocity and lack of cover have created conditions that favor predation on juvenile salmonids emigrating through Deadwater Slough including Chinook Salmon i.e., juvenile Chinook Salmon have slower movement rates and little refugia to avoid predation. We estimate that predation from Northern Pikeminnow in Deadwater Slough may reduce adult returns by as much as 146 or 26% or recent returns to the Upper Salmon River MPG. Therefore, predation in Deadwater Slough likely has a consequential impact on ESA-listed Chinook Salmon populations in the Upper Salmon MPG.</w:t>
      </w:r>
    </w:p>
    <w:bookmarkEnd w:id="42"/>
    <w:bookmarkEnd w:id="43"/>
    <w:bookmarkStart w:id="44"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This manuscript benefitted from a review by Sean Gibbs. Funding for this study was provided by the Bureau of Reclamation, Pacific Northwest Regional Office (contract No. 140R1021F0018) with assistance from the Idaho Governor’s Office of Species Conservation.</w:t>
      </w:r>
    </w:p>
    <w:p>
      <w:r>
        <w:br w:type="page"/>
      </w:r>
    </w:p>
    <w:bookmarkEnd w:id="44"/>
    <w:bookmarkStart w:id="91" w:name="literature-cited"/>
    <w:p>
      <w:pPr>
        <w:pStyle w:val="Heading1"/>
      </w:pPr>
      <w:r>
        <w:t xml:space="preserve">Literature Cited</w:t>
      </w:r>
    </w:p>
    <w:bookmarkStart w:id="90" w:name="refs"/>
    <w:bookmarkStart w:id="45"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5"/>
    <w:bookmarkStart w:id="46"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6"/>
    <w:bookmarkStart w:id="47" w:name="ref-Bartoo1977"/>
    <w:p>
      <w:pPr>
        <w:pStyle w:val="Bibliography"/>
      </w:pPr>
      <w:r>
        <w:t xml:space="preserve">Bartoo, N. W. 1977. Population parameter estimates and energy budgets for peamouth, northern squawfish, and yellow perch in</w:t>
      </w:r>
      <w:r>
        <w:t xml:space="preserve"> </w:t>
      </w:r>
      <w:r>
        <w:t xml:space="preserve">Lake Washington</w:t>
      </w:r>
      <w:r>
        <w:t xml:space="preserve">. Doctoral Dissertation. University of Washington, Seattle.</w:t>
      </w:r>
    </w:p>
    <w:bookmarkEnd w:id="47"/>
    <w:bookmarkStart w:id="48"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8"/>
    <w:bookmarkStart w:id="49"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9"/>
    <w:bookmarkStart w:id="50"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50"/>
    <w:bookmarkStart w:id="51"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51"/>
    <w:bookmarkStart w:id="52"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2"/>
    <w:bookmarkStart w:id="53"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3"/>
    <w:bookmarkStart w:id="54"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4"/>
    <w:bookmarkStart w:id="55"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5"/>
    <w:bookmarkStart w:id="56"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6"/>
    <w:bookmarkStart w:id="57"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7"/>
    <w:bookmarkStart w:id="58"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8"/>
    <w:bookmarkStart w:id="59"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9"/>
    <w:bookmarkStart w:id="60" w:name="ref-Hartleb1995"/>
    <w:p>
      <w:pPr>
        <w:pStyle w:val="Bibliography"/>
      </w:pPr>
      <w:r>
        <w:t xml:space="preserve">Hartleb, C. F., and J. R. Moring. 1995. An improved gastric lavage device for removing stomach contents from live fish. Fisheries Research 24(3):261–265.</w:t>
      </w:r>
    </w:p>
    <w:bookmarkEnd w:id="60"/>
    <w:bookmarkStart w:id="61" w:name="ref-Hodgson1988"/>
    <w:p>
      <w:pPr>
        <w:pStyle w:val="Bibliography"/>
      </w:pPr>
      <w:r>
        <w:t xml:space="preserve">Hodgson, J. R., and P. A. Cochran. 1988. The effect of sampling methodology on diet analysis in largemouth bass (</w:t>
      </w:r>
      <w:r>
        <w:rPr>
          <w:iCs/>
          <w:i/>
        </w:rPr>
        <w:t xml:space="preserve">Micropterus</w:t>
      </w:r>
      <w:r>
        <w:t xml:space="preserve"> </w:t>
      </w:r>
      <w:r>
        <w:rPr>
          <w:iCs/>
          <w:i/>
        </w:rPr>
        <w:t xml:space="preserve">Salmoides</w:t>
      </w:r>
      <w:r>
        <w:t xml:space="preserve">). SIL Proceedings, 1922-2010 23(3):1670–1675.</w:t>
      </w:r>
    </w:p>
    <w:bookmarkEnd w:id="61"/>
    <w:bookmarkStart w:id="62"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62"/>
    <w:bookmarkStart w:id="63" w:name="ref-Jurajda2016"/>
    <w:p>
      <w:pPr>
        <w:pStyle w:val="Bibliography"/>
      </w:pPr>
      <w:r>
        <w:t xml:space="preserve">Jurajda, P., K. Roche, I. Sedlacek, and L. Vsetickova. 2016. Assemblage characteristics and diet of fish in the shallow coastal waters of</w:t>
      </w:r>
      <w:r>
        <w:t xml:space="preserve"> </w:t>
      </w:r>
      <w:r>
        <w:t xml:space="preserve">James Ross Island</w:t>
      </w:r>
      <w:r>
        <w:t xml:space="preserve">,</w:t>
      </w:r>
      <w:r>
        <w:t xml:space="preserve"> </w:t>
      </w:r>
      <w:r>
        <w:t xml:space="preserve">Antarctica</w:t>
      </w:r>
      <w:r>
        <w:t xml:space="preserve">. Polar Biology 39(12):2299–2309.</w:t>
      </w:r>
    </w:p>
    <w:bookmarkEnd w:id="63"/>
    <w:bookmarkStart w:id="64" w:name="ref-Kamler2001"/>
    <w:p>
      <w:pPr>
        <w:pStyle w:val="Bibliography"/>
      </w:pPr>
      <w:r>
        <w:t xml:space="preserve">Kamler, J. F., and K. L. Pope. 2001. Nonlethal methods of examining fish stomach contents. Reviews in Fisheries Science 9(1):1–11.</w:t>
      </w:r>
    </w:p>
    <w:bookmarkEnd w:id="64"/>
    <w:bookmarkStart w:id="65"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65"/>
    <w:bookmarkStart w:id="66"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66"/>
    <w:bookmarkStart w:id="67"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67"/>
    <w:bookmarkStart w:id="68"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68"/>
    <w:bookmarkStart w:id="69"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9"/>
    <w:bookmarkStart w:id="70"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70"/>
    <w:bookmarkStart w:id="71"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71"/>
    <w:bookmarkStart w:id="72"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72"/>
    <w:bookmarkStart w:id="73"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73"/>
    <w:bookmarkStart w:id="74"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74"/>
    <w:bookmarkStart w:id="75" w:name="ref-Petersen1999"/>
    <w:p>
      <w:pPr>
        <w:pStyle w:val="Bibliography"/>
      </w:pPr>
      <w:r>
        <w:t xml:space="preserve">Petersen, J. H., and D. L. Ward. 1999. Development and corroboration of a bioenergetics model for</w:t>
      </w:r>
      <w:r>
        <w:t xml:space="preserve"> </w:t>
      </w:r>
      <w:r>
        <w:t xml:space="preserve">Northern Pikeminnow</w:t>
      </w:r>
      <w:r>
        <w:t xml:space="preserve"> </w:t>
      </w:r>
      <w:r>
        <w:t xml:space="preserve">feeding on juvenile salmonids in the</w:t>
      </w:r>
      <w:r>
        <w:t xml:space="preserve"> </w:t>
      </w:r>
      <w:r>
        <w:t xml:space="preserve">Columbia River</w:t>
      </w:r>
      <w:r>
        <w:t xml:space="preserve">. Transactions of the American Fisheries Society 128(5):784–801.</w:t>
      </w:r>
    </w:p>
    <w:bookmarkEnd w:id="75"/>
    <w:bookmarkStart w:id="76"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76"/>
    <w:bookmarkStart w:id="77"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77"/>
    <w:bookmarkStart w:id="78"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8"/>
    <w:bookmarkStart w:id="79"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79"/>
    <w:bookmarkStart w:id="80"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80"/>
    <w:bookmarkStart w:id="81"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81"/>
    <w:bookmarkStart w:id="82"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82"/>
    <w:bookmarkStart w:id="83"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83"/>
    <w:bookmarkStart w:id="84"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84"/>
    <w:bookmarkStart w:id="85" w:name="ref-Wasowicz1994"/>
    <w:p>
      <w:pPr>
        <w:pStyle w:val="Bibliography"/>
      </w:pPr>
      <w:r>
        <w:t xml:space="preserve">Wasowicz, A., and R. A. Valdez. 1994. A nonlethal technique to recover gut contents of</w:t>
      </w:r>
      <w:r>
        <w:t xml:space="preserve"> </w:t>
      </w:r>
      <w:r>
        <w:t xml:space="preserve">Roundtail Chub</w:t>
      </w:r>
      <w:r>
        <w:t xml:space="preserve">. North American Journal of Fisheries Management 14(3):656–658.</w:t>
      </w:r>
    </w:p>
    <w:bookmarkEnd w:id="85"/>
    <w:bookmarkStart w:id="86"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86"/>
    <w:bookmarkStart w:id="87"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87"/>
    <w:bookmarkStart w:id="88"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88"/>
    <w:bookmarkStart w:id="89"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89"/>
    <w:bookmarkEnd w:id="90"/>
    <w:p>
      <w:r>
        <w:br w:type="page"/>
      </w:r>
    </w:p>
    <w:bookmarkEnd w:id="91"/>
    <w:bookmarkStart w:id="93" w:name="tables"/>
    <w:p>
      <w:pPr>
        <w:pStyle w:val="Heading1"/>
      </w:pPr>
      <w:r>
        <w:t xml:space="preserve">Tables</w:t>
      </w:r>
    </w:p>
    <w:bookmarkStart w:id="92" w:name="tables"/>
    <w:bookmarkEnd w:id="92"/>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291</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157</w:t>
            </w:r>
          </w:p>
        </w:tc>
        <w:tc>
          <w:tcPr/>
          <w:p>
            <w:pPr>
              <w:pStyle w:val="Compact"/>
              <w:jc w:val="right"/>
            </w:pPr>
            <w:r>
              <w:t xml:space="preserve">4</w:t>
            </w:r>
          </w:p>
        </w:tc>
        <w:tc>
          <w:tcPr/>
          <w:p>
            <w:pPr>
              <w:pStyle w:val="Compact"/>
              <w:jc w:val="right"/>
            </w:pPr>
            <w:r>
              <w:t xml:space="preserve">153</w:t>
            </w:r>
          </w:p>
        </w:tc>
        <w:tc>
          <w:tcPr/>
          <w:p>
            <w:pPr>
              <w:pStyle w:val="Compact"/>
              <w:jc w:val="right"/>
            </w:pPr>
            <w:r>
              <w:t xml:space="preserve">156</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737</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 CI</w:t>
            </w:r>
          </w:p>
        </w:tc>
        <w:tc>
          <w:tcPr/>
          <w:p>
            <w:pPr>
              <w:pStyle w:val="Compact"/>
              <w:jc w:val="right"/>
            </w:pPr>
            <w:r>
              <w:t xml:space="preserve">U 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24,381</w:t>
            </w:r>
          </w:p>
        </w:tc>
        <w:tc>
          <w:tcPr/>
          <w:p>
            <w:pPr>
              <w:pStyle w:val="Compact"/>
              <w:jc w:val="right"/>
            </w:pPr>
            <w:r>
              <w:t xml:space="preserve">9,065.6</w:t>
            </w:r>
          </w:p>
        </w:tc>
        <w:tc>
          <w:tcPr/>
          <w:p>
            <w:pPr>
              <w:pStyle w:val="Compact"/>
              <w:jc w:val="right"/>
            </w:pPr>
            <w:r>
              <w:t xml:space="preserve">11,547</w:t>
            </w:r>
          </w:p>
        </w:tc>
        <w:tc>
          <w:tcPr/>
          <w:p>
            <w:pPr>
              <w:pStyle w:val="Compact"/>
              <w:jc w:val="right"/>
            </w:pPr>
            <w:r>
              <w:t xml:space="preserve">55,761</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29,100</w:t>
            </w:r>
          </w:p>
        </w:tc>
        <w:tc>
          <w:tcPr/>
          <w:p>
            <w:pPr>
              <w:pStyle w:val="Compact"/>
              <w:jc w:val="right"/>
            </w:pPr>
            <w:r>
              <w:t xml:space="preserve">12,901.6</w:t>
            </w:r>
          </w:p>
        </w:tc>
        <w:tc>
          <w:tcPr/>
          <w:p>
            <w:pPr>
              <w:pStyle w:val="Compact"/>
              <w:jc w:val="right"/>
            </w:pPr>
            <w:r>
              <w:t xml:space="preserve">12,470</w:t>
            </w:r>
          </w:p>
        </w:tc>
        <w:tc>
          <w:tcPr/>
          <w:p>
            <w:pPr>
              <w:pStyle w:val="Compact"/>
              <w:jc w:val="right"/>
            </w:pPr>
            <w:r>
              <w:t xml:space="preserve">89,622</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37,016</w:t>
            </w:r>
          </w:p>
        </w:tc>
        <w:tc>
          <w:tcPr/>
          <w:p>
            <w:pPr>
              <w:pStyle w:val="Compact"/>
              <w:jc w:val="right"/>
            </w:pPr>
            <w:r>
              <w:t xml:space="preserve">-</w:t>
            </w:r>
          </w:p>
        </w:tc>
        <w:tc>
          <w:tcPr/>
          <w:p>
            <w:pPr>
              <w:pStyle w:val="Compact"/>
              <w:jc w:val="right"/>
            </w:pPr>
            <w:r>
              <w:t xml:space="preserve">18,430</w:t>
            </w:r>
          </w:p>
        </w:tc>
        <w:tc>
          <w:tcPr/>
          <w:p>
            <w:pPr>
              <w:pStyle w:val="Compact"/>
              <w:jc w:val="right"/>
            </w:pPr>
            <w:r>
              <w:t xml:space="preserve">80,924</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42,475</w:t>
            </w:r>
          </w:p>
        </w:tc>
        <w:tc>
          <w:tcPr/>
          <w:p>
            <w:pPr>
              <w:pStyle w:val="Compact"/>
              <w:jc w:val="right"/>
            </w:pPr>
            <w:r>
              <w:t xml:space="preserve">-</w:t>
            </w:r>
          </w:p>
        </w:tc>
        <w:tc>
          <w:tcPr/>
          <w:p>
            <w:pPr>
              <w:pStyle w:val="Compact"/>
              <w:jc w:val="right"/>
            </w:pPr>
            <w:r>
              <w:t xml:space="preserve">22,501</w:t>
            </w:r>
          </w:p>
        </w:tc>
        <w:tc>
          <w:tcPr/>
          <w:p>
            <w:pPr>
              <w:pStyle w:val="Compact"/>
              <w:jc w:val="right"/>
            </w:pPr>
            <w:r>
              <w:t xml:space="preserve">378,128</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797</w:t>
            </w:r>
          </w:p>
        </w:tc>
        <w:tc>
          <w:tcPr/>
          <w:p>
            <w:pPr>
              <w:pStyle w:val="Compact"/>
              <w:jc w:val="right"/>
            </w:pPr>
            <w:r>
              <w:t xml:space="preserve">793</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1,663</w:t>
            </w:r>
          </w:p>
        </w:tc>
        <w:tc>
          <w:tcPr/>
          <w:p>
            <w:pPr>
              <w:pStyle w:val="Compact"/>
              <w:jc w:val="right"/>
            </w:pPr>
            <w:r>
              <w:t xml:space="preserve">1,558</w:t>
            </w:r>
          </w:p>
        </w:tc>
        <w:tc>
          <w:tcPr/>
          <w:p>
            <w:pPr>
              <w:pStyle w:val="Compact"/>
              <w:jc w:val="right"/>
            </w:pPr>
            <w:r>
              <w:t xml:space="preserve">350</w:t>
            </w:r>
          </w:p>
        </w:tc>
        <w:tc>
          <w:tcPr/>
          <w:p>
            <w:pPr>
              <w:pStyle w:val="Compact"/>
              <w:jc w:val="right"/>
            </w:pPr>
            <w:r>
              <w:t xml:space="preserve">44</w:t>
            </w:r>
          </w:p>
        </w:tc>
      </w:tr>
    </w:tbl>
    <w:p>
      <w:r>
        <w:br w:type="page"/>
      </w:r>
    </w:p>
    <w:p>
      <w:r>
        <w:br w:type="page"/>
      </w:r>
    </w:p>
    <w:bookmarkEnd w:id="93"/>
    <w:bookmarkStart w:id="102" w:name="figures"/>
    <w:p>
      <w:pPr>
        <w:pStyle w:val="Heading1"/>
      </w:pPr>
      <w:r>
        <w:t xml:space="preserve">Figures</w:t>
      </w:r>
    </w:p>
    <w:bookmarkStart w:id="94" w:name="figures"/>
    <w:bookmarkEnd w:id="94"/>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95"/>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e effort." title="" id="1" name="Picture"/>
            <a:graphic>
              <a:graphicData uri="http://schemas.openxmlformats.org/drawingml/2006/picture">
                <pic:pic>
                  <pic:nvPicPr>
                    <pic:cNvPr descr="../figures/cpue-fig-1.png" id="0" name="Picture"/>
                    <pic:cNvPicPr>
                      <a:picLocks noChangeArrowheads="1" noChangeAspect="1"/>
                    </pic:cNvPicPr>
                  </pic:nvPicPr>
                  <pic:blipFill>
                    <a:blip r:embed="rId9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sample effort.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 title="" id="1" name="Picture"/>
            <a:graphic>
              <a:graphicData uri="http://schemas.openxmlformats.org/drawingml/2006/picture">
                <pic:pic>
                  <pic:nvPicPr>
                    <pic:cNvPr descr="../figures/abund-fig-1.png" id="0" name="Picture"/>
                    <pic:cNvPicPr>
                      <a:picLocks noChangeArrowheads="1" noChangeAspect="1"/>
                    </pic:cNvPicPr>
                  </pic:nvPicPr>
                  <pic:blipFill>
                    <a:blip r:embed="rId9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w:t>
      </w:r>
    </w:p>
    <w:p>
      <w:r>
        <w:br w:type="page"/>
      </w:r>
    </w:p>
    <w:p>
      <w:pPr>
        <w:pStyle w:val="CaptionedFigure"/>
      </w:pPr>
      <w:r>
        <w:drawing>
          <wp:inline>
            <wp:extent cx="5504749" cy="3669832"/>
            <wp:effectExtent b="0" l="0" r="0" t="0"/>
            <wp:docPr descr="Figure 4: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9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Length frequency histogram of Northern Pikeminnow caught using hook-and-line angling during the study.</w:t>
      </w:r>
    </w:p>
    <w:p>
      <w:r>
        <w:br w:type="page"/>
      </w:r>
    </w:p>
    <w:p>
      <w:pPr>
        <w:pStyle w:val="CaptionedFigure"/>
      </w:pPr>
      <w:r>
        <w:drawing>
          <wp:inline>
            <wp:extent cx="5504749" cy="3669832"/>
            <wp:effectExtent b="0" l="0" r="0" t="0"/>
            <wp:docPr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9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10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101" w:name="colophon"/>
    <w:p>
      <w:pPr>
        <w:pStyle w:val="Heading3"/>
      </w:pPr>
      <w:r>
        <w:t xml:space="preserve">Colophon</w:t>
      </w:r>
    </w:p>
    <w:p>
      <w:pPr>
        <w:pStyle w:val="FirstParagraph"/>
      </w:pPr>
      <w:r>
        <w:t xml:space="preserve">This report was generated on 2022-01-07 15:34:50 using the following computational environment and dependencies:</w:t>
      </w:r>
    </w:p>
    <w:p>
      <w:pPr>
        <w:pStyle w:val="SourceCode"/>
      </w:pPr>
      <w:r>
        <w:rPr>
          <w:rStyle w:val="VerbatimChar"/>
        </w:rPr>
        <w:t xml:space="preserve">#&gt; - Session info  --------------------------------------------------------------</w:t>
      </w:r>
      <w:r>
        <w:br/>
      </w:r>
      <w:r>
        <w:rPr>
          <w:rStyle w:val="VerbatimChar"/>
        </w:rPr>
        <w:t xml:space="preserve">#&gt;  hash: leg: medium-dark skin tone, person shrugging: medium-light skin tone, person getting massage: medium-dark skin tone</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2022-01-07</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(https://github.com/mackerman44/DeadwaterPaper.git)</w:t>
      </w:r>
      <w:r>
        <w:br/>
      </w:r>
      <w:r>
        <w:rPr>
          <w:rStyle w:val="VerbatimChar"/>
        </w:rPr>
        <w:t xml:space="preserve">#&gt; Head:     [e43f6a3] 2022-01-07: knit README.md</w:t>
      </w:r>
    </w:p>
    <w:bookmarkEnd w:id="101"/>
    <w:bookmarkEnd w:id="102"/>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99" Target="media/rId99.png" /><Relationship Type="http://schemas.openxmlformats.org/officeDocument/2006/relationships/image" Id="rId96" Target="media/rId96.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hyperlink" Id="rId38" Target="https://www.audubon.org/important-bird-areas/deadwater-slough#" TargetMode="External" /><Relationship Type="http://schemas.openxmlformats.org/officeDocument/2006/relationships/hyperlink" Id="rId39"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8" Target="https://www.audubon.org/important-bird-areas/deadwater-slough#" TargetMode="External" /><Relationship Type="http://schemas.openxmlformats.org/officeDocument/2006/relationships/hyperlink" Id="rId39"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2022-01-07T22:34:53Z</dcterms:created>
  <dcterms:modified xsi:type="dcterms:W3CDTF">2022-01-07T22:34:53Z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07 January, 2022</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